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7634D0" w:rsidRPr="007634D0">
        <w:rPr>
          <w:rFonts w:ascii="Times New Roman" w:hAnsi="Times New Roman" w:cs="Times New Roman"/>
          <w:sz w:val="28"/>
          <w:szCs w:val="28"/>
        </w:rPr>
        <w:t>18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</w:t>
      </w:r>
      <w:r w:rsidR="007634D0">
        <w:rPr>
          <w:rFonts w:ascii="Times New Roman" w:hAnsi="Times New Roman" w:cs="Times New Roman"/>
          <w:sz w:val="28"/>
          <w:szCs w:val="28"/>
        </w:rPr>
        <w:t>июля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34D0">
        <w:rPr>
          <w:rFonts w:ascii="Times New Roman" w:hAnsi="Times New Roman" w:cs="Times New Roman"/>
          <w:sz w:val="28"/>
          <w:szCs w:val="28"/>
        </w:rPr>
        <w:t xml:space="preserve">                                            № 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7634D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634D0">
        <w:rPr>
          <w:rFonts w:ascii="Times New Roman" w:hAnsi="Times New Roman" w:cs="Times New Roman"/>
          <w:b/>
          <w:sz w:val="28"/>
          <w:szCs w:val="28"/>
        </w:rPr>
        <w:t xml:space="preserve">Верхняя Орлянка </w:t>
      </w:r>
      <w:r w:rsidRPr="006F3348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7634D0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Верхняя Орлянка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7634D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7634D0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7634D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7634D0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34D0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7634D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634D0">
        <w:rPr>
          <w:rFonts w:ascii="Times New Roman" w:eastAsia="Times New Roman" w:hAnsi="Times New Roman" w:cs="Times New Roman"/>
          <w:sz w:val="28"/>
          <w:szCs w:val="28"/>
        </w:rPr>
        <w:t>17.06.2022г.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7634D0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7634D0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34D0">
        <w:rPr>
          <w:rFonts w:ascii="Times New Roman" w:hAnsi="Times New Roman" w:cs="Times New Roman"/>
          <w:sz w:val="28"/>
          <w:szCs w:val="28"/>
        </w:rPr>
        <w:t xml:space="preserve">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7634D0">
        <w:rPr>
          <w:rFonts w:ascii="Times New Roman" w:hAnsi="Times New Roman" w:cs="Times New Roman"/>
          <w:sz w:val="28"/>
          <w:szCs w:val="28"/>
        </w:rPr>
        <w:t>А.А.Митяева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34D0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7634D0" w:rsidRPr="007634D0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  <w:bookmarkStart w:id="0" w:name="_GoBack"/>
      <w:bookmarkEnd w:id="0"/>
      <w:r w:rsidR="007634D0">
        <w:rPr>
          <w:rFonts w:ascii="Times New Roman" w:hAnsi="Times New Roman" w:cs="Times New Roman"/>
          <w:sz w:val="28"/>
          <w:szCs w:val="28"/>
        </w:rPr>
        <w:t>Р.Р.Исмагилов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7634D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>поселения</w:t>
      </w:r>
      <w:r w:rsidRPr="0076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AB5F45">
        <w:rPr>
          <w:rFonts w:ascii="Times New Roman" w:hAnsi="Times New Roman" w:cs="Times New Roman"/>
          <w:sz w:val="24"/>
          <w:szCs w:val="24"/>
        </w:rPr>
        <w:t xml:space="preserve"> 24 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AB5F45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AB5F4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AB5F45" w:rsidRPr="00A61980">
        <w:rPr>
          <w:rFonts w:ascii="Times New Roman" w:hAnsi="Times New Roman" w:cs="Times New Roman"/>
          <w:sz w:val="24"/>
          <w:szCs w:val="24"/>
        </w:rPr>
        <w:t xml:space="preserve">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634D0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7634D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634D0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охране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7634D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7634D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634D0" w:rsidRPr="007634D0">
        <w:rPr>
          <w:rFonts w:ascii="Times New Roman" w:hAnsi="Times New Roman" w:cs="Times New Roman"/>
          <w:sz w:val="28"/>
          <w:szCs w:val="28"/>
        </w:rPr>
        <w:t xml:space="preserve">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в Российской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lastRenderedPageBreak/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7634D0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34D0">
        <w:rPr>
          <w:rFonts w:ascii="Times New Roman" w:hAnsi="Times New Roman" w:cs="Times New Roman"/>
          <w:sz w:val="28"/>
          <w:szCs w:val="28"/>
        </w:rPr>
        <w:t>Верхняя Орлянка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7634D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7634D0" w:rsidRPr="007634D0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7634D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7634D0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________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благоустройства территории ________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Правила благоустройства), заключили настоящее соглашение о нижеследующем:</w:t>
      </w:r>
      <w:proofErr w:type="gramEnd"/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523D8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634D0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B5F45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14A0D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511-771B-4114-95AF-123F7BD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19570</Words>
  <Characters>111550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2022-07-19T09:16:00Z</cp:lastPrinted>
  <dcterms:created xsi:type="dcterms:W3CDTF">2022-07-19T09:24:00Z</dcterms:created>
  <dcterms:modified xsi:type="dcterms:W3CDTF">2022-07-19T09:24:00Z</dcterms:modified>
</cp:coreProperties>
</file>